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3" w:rsidRDefault="00C509F3" w:rsidP="00C509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WYMAGANIA EDUKACYJNE Z HISTORII DLA KLASY VI SZKOŁY PODSTAWOWEJ</w:t>
      </w:r>
      <w:r w:rsidRPr="00DC36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trzy</w:t>
            </w:r>
            <w:proofErr w:type="spellEnd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proofErr w:type="spellStart"/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</w:t>
            </w:r>
            <w:proofErr w:type="spellEnd"/>
            <w:r w:rsidR="00BD75D7" w:rsidRPr="008938DA">
              <w:rPr>
                <w:rFonts w:eastAsia="Times New Roman" w:cstheme="minorHAnsi"/>
                <w:spacing w:val="-2"/>
              </w:rPr>
              <w:t xml:space="preserve">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proofErr w:type="spellStart"/>
            <w:r w:rsidR="00094F34" w:rsidRPr="00F45275">
              <w:rPr>
                <w:rFonts w:eastAsia="Times New Roman" w:cstheme="minorHAnsi"/>
                <w:i/>
                <w:lang w:eastAsia="pl-PL"/>
              </w:rPr>
              <w:t>conventa</w:t>
            </w:r>
            <w:proofErr w:type="spellEnd"/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293110" w:rsidRPr="00F45275">
              <w:rPr>
                <w:rFonts w:cstheme="minorHAnsi"/>
                <w:i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7E4FC8" w:rsidRPr="00F45275">
              <w:rPr>
                <w:rFonts w:cstheme="minorHAnsi"/>
                <w:i/>
              </w:rPr>
              <w:t>conventa</w:t>
            </w:r>
            <w:proofErr w:type="spellEnd"/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 xml:space="preserve">szwedzkich w I </w:t>
            </w:r>
            <w:proofErr w:type="spellStart"/>
            <w:r w:rsidR="0043203F" w:rsidRPr="008938DA">
              <w:rPr>
                <w:rFonts w:eastAsia="Times New Roman" w:cstheme="minorHAnsi"/>
                <w:lang w:eastAsia="pl-PL"/>
              </w:rPr>
              <w:t>poł</w:t>
            </w:r>
            <w:proofErr w:type="spellEnd"/>
            <w:r w:rsidR="0043203F" w:rsidRPr="008938DA">
              <w:rPr>
                <w:rFonts w:eastAsia="Times New Roman" w:cstheme="minorHAnsi"/>
                <w:lang w:eastAsia="pl-PL"/>
              </w:rPr>
              <w:t>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</w:t>
            </w:r>
            <w:proofErr w:type="spellStart"/>
            <w:r w:rsidR="009D6EED" w:rsidRPr="008938DA">
              <w:rPr>
                <w:rFonts w:cstheme="minorHAnsi"/>
              </w:rPr>
              <w:t>poł</w:t>
            </w:r>
            <w:proofErr w:type="spellEnd"/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</w:t>
            </w:r>
            <w:proofErr w:type="spellStart"/>
            <w:r w:rsidR="00A214C7" w:rsidRPr="008938DA">
              <w:rPr>
                <w:rFonts w:cstheme="minorHAnsi"/>
              </w:rPr>
              <w:t>poł</w:t>
            </w:r>
            <w:proofErr w:type="spellEnd"/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proofErr w:type="spellStart"/>
            <w:r w:rsidR="00A246A5">
              <w:rPr>
                <w:rFonts w:cstheme="minorHAnsi"/>
              </w:rPr>
              <w:t>dwie–trzy</w:t>
            </w:r>
            <w:proofErr w:type="spellEnd"/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</w:t>
            </w:r>
            <w:proofErr w:type="spellStart"/>
            <w:r w:rsidR="00ED6DD1" w:rsidRPr="008938DA">
              <w:rPr>
                <w:rFonts w:cstheme="minorHAnsi"/>
              </w:rPr>
              <w:t>poł</w:t>
            </w:r>
            <w:proofErr w:type="spellEnd"/>
            <w:r w:rsidR="00ED6DD1" w:rsidRPr="008938DA">
              <w:rPr>
                <w:rFonts w:cstheme="minorHAnsi"/>
              </w:rPr>
              <w:t>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proofErr w:type="spellStart"/>
            <w:r w:rsidR="00D51C15" w:rsidRPr="008938DA">
              <w:rPr>
                <w:rFonts w:cstheme="minorHAnsi"/>
              </w:rPr>
              <w:t>poł</w:t>
            </w:r>
            <w:proofErr w:type="spellEnd"/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</w:t>
            </w:r>
            <w:proofErr w:type="spellStart"/>
            <w:r w:rsidR="00D61066" w:rsidRPr="008938DA">
              <w:rPr>
                <w:rFonts w:cstheme="minorHAnsi"/>
              </w:rPr>
              <w:t>poł</w:t>
            </w:r>
            <w:proofErr w:type="spellEnd"/>
            <w:r w:rsidR="00D61066" w:rsidRPr="008938DA">
              <w:rPr>
                <w:rFonts w:cstheme="minorHAnsi"/>
              </w:rPr>
              <w:t>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rderu Virtuti </w:t>
            </w:r>
            <w:proofErr w:type="spellStart"/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Militari</w:t>
            </w:r>
            <w:proofErr w:type="spellEnd"/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proofErr w:type="spellEnd"/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>a</w:t>
            </w:r>
            <w:proofErr w:type="spellEnd"/>
            <w:r w:rsidRPr="008938DA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poł</w:t>
            </w:r>
            <w:proofErr w:type="spell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Default="00FB4C81" w:rsidP="000A08B0">
      <w:pPr>
        <w:spacing w:after="0" w:line="240" w:lineRule="auto"/>
        <w:rPr>
          <w:rFonts w:cstheme="minorHAnsi"/>
        </w:rPr>
      </w:pPr>
    </w:p>
    <w:p w:rsidR="00C509F3" w:rsidRPr="008938DA" w:rsidRDefault="00C509F3" w:rsidP="00C509F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Kamila </w:t>
      </w:r>
      <w:proofErr w:type="spellStart"/>
      <w:r>
        <w:rPr>
          <w:rFonts w:cstheme="minorHAnsi"/>
        </w:rPr>
        <w:t>Bagnosz</w:t>
      </w:r>
      <w:proofErr w:type="spellEnd"/>
      <w:r>
        <w:rPr>
          <w:rFonts w:cstheme="minorHAnsi"/>
        </w:rPr>
        <w:t xml:space="preserve"> - </w:t>
      </w:r>
      <w:proofErr w:type="spellStart"/>
      <w:r>
        <w:rPr>
          <w:rFonts w:cstheme="minorHAnsi"/>
        </w:rPr>
        <w:t>Łepecka</w:t>
      </w:r>
      <w:proofErr w:type="spellEnd"/>
    </w:p>
    <w:sectPr w:rsidR="00C509F3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AC" w:rsidRDefault="00E355AC" w:rsidP="007B1B87">
      <w:pPr>
        <w:spacing w:after="0" w:line="240" w:lineRule="auto"/>
      </w:pPr>
      <w:r>
        <w:separator/>
      </w:r>
    </w:p>
  </w:endnote>
  <w:endnote w:type="continuationSeparator" w:id="0">
    <w:p w:rsidR="00E355AC" w:rsidRDefault="00E355A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6378AF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C509F3">
          <w:rPr>
            <w:noProof/>
          </w:rPr>
          <w:t>21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AC" w:rsidRDefault="00E355AC" w:rsidP="007B1B87">
      <w:pPr>
        <w:spacing w:after="0" w:line="240" w:lineRule="auto"/>
      </w:pPr>
      <w:r>
        <w:separator/>
      </w:r>
    </w:p>
  </w:footnote>
  <w:footnote w:type="continuationSeparator" w:id="0">
    <w:p w:rsidR="00E355AC" w:rsidRDefault="00E355A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378AF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9F3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355AC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BE38-3DA8-4B26-B41F-966AC41C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6486</Words>
  <Characters>38917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Krzysiek Łepecki</cp:lastModifiedBy>
  <cp:revision>2</cp:revision>
  <cp:lastPrinted>2017-09-06T11:26:00Z</cp:lastPrinted>
  <dcterms:created xsi:type="dcterms:W3CDTF">2021-09-09T16:31:00Z</dcterms:created>
  <dcterms:modified xsi:type="dcterms:W3CDTF">2021-09-09T16:31:00Z</dcterms:modified>
</cp:coreProperties>
</file>